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6EEF" w:rsidRDefault="00816EEF" w:rsidP="00816EEF">
      <w:pPr>
        <w:spacing w:line="240" w:lineRule="auto"/>
        <w:jc w:val="both"/>
        <w:rPr>
          <w:rFonts w:ascii="Arial" w:hAnsi="Arial" w:cs="Arial"/>
          <w:b/>
          <w:szCs w:val="22"/>
        </w:rPr>
      </w:pPr>
      <w:r>
        <w:rPr>
          <w:rFonts w:ascii="Arial" w:hAnsi="Arial" w:cs="Arial"/>
          <w:b/>
          <w:szCs w:val="22"/>
        </w:rPr>
        <w:t xml:space="preserve">Politiques publiques locales, </w:t>
      </w:r>
      <w:r>
        <w:rPr>
          <w:rFonts w:ascii="Arial" w:hAnsi="Arial" w:cs="Arial"/>
          <w:b/>
          <w:i/>
          <w:szCs w:val="22"/>
        </w:rPr>
        <w:t>care</w:t>
      </w:r>
      <w:r>
        <w:rPr>
          <w:rFonts w:ascii="Arial" w:hAnsi="Arial" w:cs="Arial"/>
          <w:b/>
          <w:szCs w:val="22"/>
        </w:rPr>
        <w:t xml:space="preserve"> et qualité de l’emploi des femmes à Nantes</w:t>
      </w:r>
    </w:p>
    <w:p w:rsidR="00816EEF" w:rsidRDefault="00816EEF" w:rsidP="00816EEF">
      <w:pPr>
        <w:spacing w:line="240" w:lineRule="auto"/>
        <w:jc w:val="both"/>
        <w:rPr>
          <w:rFonts w:ascii="Palatino Linotype" w:hAnsi="Palatino Linotype" w:cs="Arial"/>
          <w:bCs/>
          <w:szCs w:val="22"/>
        </w:rPr>
      </w:pPr>
    </w:p>
    <w:p w:rsidR="00816EEF" w:rsidRDefault="00816EEF" w:rsidP="00816EEF">
      <w:pPr>
        <w:spacing w:line="240" w:lineRule="auto"/>
        <w:jc w:val="both"/>
        <w:rPr>
          <w:rFonts w:ascii="Palatino Linotype" w:hAnsi="Palatino Linotype" w:cs="Arial"/>
          <w:bCs/>
          <w:szCs w:val="22"/>
        </w:rPr>
      </w:pPr>
      <w:r>
        <w:rPr>
          <w:rFonts w:ascii="Palatino Linotype" w:hAnsi="Palatino Linotype" w:cs="Arial"/>
          <w:bCs/>
          <w:szCs w:val="22"/>
        </w:rPr>
        <w:t>Monique BIGOTEAU* et Annie DUSSUET**</w:t>
      </w:r>
    </w:p>
    <w:p w:rsidR="00816EEF" w:rsidRDefault="00816EEF" w:rsidP="00816EEF">
      <w:pPr>
        <w:spacing w:line="240" w:lineRule="auto"/>
        <w:jc w:val="both"/>
        <w:rPr>
          <w:rFonts w:ascii="Palatino" w:hAnsi="Palatino"/>
          <w:sz w:val="28"/>
        </w:rPr>
      </w:pPr>
    </w:p>
    <w:p w:rsidR="00816EEF" w:rsidRDefault="00816EEF" w:rsidP="00816EEF">
      <w:pPr>
        <w:pStyle w:val="BodyText"/>
        <w:spacing w:after="0" w:line="240" w:lineRule="auto"/>
        <w:rPr>
          <w:rFonts w:ascii="Palatino" w:hAnsi="Palatino" w:cs="Palatino Linotype"/>
          <w:b/>
          <w:bCs/>
          <w:sz w:val="22"/>
          <w:szCs w:val="22"/>
        </w:rPr>
      </w:pPr>
      <w:r>
        <w:rPr>
          <w:rFonts w:ascii="Palatino" w:hAnsi="Palatino" w:cs="Palatino Linotype"/>
          <w:b/>
          <w:bCs/>
          <w:sz w:val="22"/>
          <w:szCs w:val="22"/>
        </w:rPr>
        <w:t>*Ingénieure de recherche CNRS, ESO – Espaces et Sociétés UMR CNRS 6590</w:t>
      </w:r>
    </w:p>
    <w:p w:rsidR="00816EEF" w:rsidRPr="00816EEF" w:rsidRDefault="00816EEF" w:rsidP="00816EEF">
      <w:pPr>
        <w:spacing w:line="240" w:lineRule="auto"/>
        <w:rPr>
          <w:rFonts w:ascii="Palatino" w:hAnsi="Palatino"/>
          <w:lang w:val="de-DE"/>
        </w:rPr>
      </w:pPr>
      <w:proofErr w:type="spellStart"/>
      <w:r>
        <w:rPr>
          <w:rFonts w:ascii="Palatino" w:hAnsi="Palatino" w:cs="Palatino Linotype"/>
          <w:sz w:val="22"/>
          <w:szCs w:val="22"/>
          <w:lang w:val="de-DE"/>
        </w:rPr>
        <w:t>e-mail</w:t>
      </w:r>
      <w:proofErr w:type="spellEnd"/>
      <w:r>
        <w:rPr>
          <w:rFonts w:ascii="Palatino" w:hAnsi="Palatino" w:cs="Palatino Linotype"/>
          <w:sz w:val="22"/>
          <w:szCs w:val="22"/>
          <w:lang w:val="de-DE"/>
        </w:rPr>
        <w:t xml:space="preserve"> : </w:t>
      </w:r>
      <w:hyperlink r:id="rId5" w:history="1">
        <w:r>
          <w:rPr>
            <w:rStyle w:val="Hyperlink"/>
            <w:rFonts w:ascii="Palatino" w:hAnsi="Palatino"/>
          </w:rPr>
          <w:t>monique.bigoteau@univ-nantes.fr</w:t>
        </w:r>
      </w:hyperlink>
    </w:p>
    <w:p w:rsidR="00816EEF" w:rsidRDefault="00816EEF" w:rsidP="00816EEF">
      <w:pPr>
        <w:tabs>
          <w:tab w:val="left" w:pos="5103"/>
          <w:tab w:val="left" w:pos="5670"/>
          <w:tab w:val="left" w:pos="6379"/>
        </w:tabs>
        <w:spacing w:line="240" w:lineRule="auto"/>
        <w:rPr>
          <w:rFonts w:ascii="Palatino" w:hAnsi="Palatino"/>
        </w:rPr>
      </w:pPr>
    </w:p>
    <w:p w:rsidR="00816EEF" w:rsidRDefault="00816EEF" w:rsidP="00816EEF">
      <w:pPr>
        <w:pStyle w:val="BodyText"/>
        <w:spacing w:after="0" w:line="240" w:lineRule="auto"/>
        <w:rPr>
          <w:rFonts w:ascii="Palatino" w:hAnsi="Palatino" w:cs="Palatino Linotype"/>
          <w:sz w:val="22"/>
          <w:szCs w:val="22"/>
        </w:rPr>
      </w:pPr>
      <w:r>
        <w:rPr>
          <w:rFonts w:ascii="Palatino" w:hAnsi="Palatino" w:cs="Palatino Linotype"/>
          <w:b/>
          <w:bCs/>
          <w:sz w:val="22"/>
          <w:szCs w:val="22"/>
        </w:rPr>
        <w:t>**MCF HDR Université de Nantes, CENS</w:t>
      </w:r>
      <w:r>
        <w:rPr>
          <w:rFonts w:ascii="Palatino" w:hAnsi="Palatino" w:cs="Palatino Linotype"/>
          <w:sz w:val="22"/>
          <w:szCs w:val="22"/>
        </w:rPr>
        <w:t xml:space="preserve"> </w:t>
      </w:r>
    </w:p>
    <w:p w:rsidR="00816EEF" w:rsidRDefault="00816EEF" w:rsidP="00816EEF">
      <w:pPr>
        <w:tabs>
          <w:tab w:val="left" w:pos="4536"/>
        </w:tabs>
        <w:spacing w:line="240" w:lineRule="auto"/>
        <w:rPr>
          <w:rFonts w:ascii="Palatino" w:hAnsi="Palatino" w:cs="Palatino Linotype"/>
          <w:b/>
          <w:bCs/>
          <w:sz w:val="22"/>
          <w:szCs w:val="22"/>
          <w:lang w:val="de-DE"/>
        </w:rPr>
      </w:pPr>
      <w:proofErr w:type="spellStart"/>
      <w:r>
        <w:rPr>
          <w:rFonts w:ascii="Palatino" w:hAnsi="Palatino" w:cs="Palatino Linotype"/>
          <w:b/>
          <w:bCs/>
          <w:sz w:val="22"/>
          <w:szCs w:val="22"/>
          <w:lang w:val="de-DE"/>
        </w:rPr>
        <w:t>e-mail</w:t>
      </w:r>
      <w:proofErr w:type="spellEnd"/>
      <w:r>
        <w:rPr>
          <w:rFonts w:ascii="Palatino" w:hAnsi="Palatino" w:cs="Palatino Linotype"/>
          <w:b/>
          <w:bCs/>
          <w:sz w:val="22"/>
          <w:szCs w:val="22"/>
          <w:lang w:val="de-DE"/>
        </w:rPr>
        <w:t xml:space="preserve"> : </w:t>
      </w:r>
      <w:hyperlink r:id="rId6" w:history="1">
        <w:r>
          <w:rPr>
            <w:rStyle w:val="Hyperlink"/>
            <w:rFonts w:ascii="Palatino" w:hAnsi="Palatino"/>
            <w:b/>
            <w:bCs/>
            <w:sz w:val="22"/>
          </w:rPr>
          <w:t>annie.dussuet@univ-nantes.fr</w:t>
        </w:r>
      </w:hyperlink>
      <w:r>
        <w:rPr>
          <w:rFonts w:ascii="Palatino" w:hAnsi="Palatino" w:cs="Palatino Linotype"/>
          <w:b/>
          <w:bCs/>
          <w:sz w:val="22"/>
          <w:szCs w:val="22"/>
          <w:lang w:val="de-DE"/>
        </w:rPr>
        <w:t xml:space="preserve">     </w:t>
      </w:r>
    </w:p>
    <w:p w:rsidR="00816EEF" w:rsidRDefault="00816EEF" w:rsidP="00816EEF">
      <w:pPr>
        <w:tabs>
          <w:tab w:val="left" w:pos="5103"/>
          <w:tab w:val="left" w:pos="5670"/>
          <w:tab w:val="left" w:pos="6379"/>
        </w:tabs>
        <w:spacing w:line="240" w:lineRule="auto"/>
        <w:rPr>
          <w:rFonts w:ascii="Palatino" w:hAnsi="Palatino" w:cs="Palatino Linotype"/>
        </w:rPr>
      </w:pPr>
      <w:bookmarkStart w:id="0" w:name="_GoBack"/>
      <w:bookmarkEnd w:id="0"/>
    </w:p>
    <w:p w:rsidR="00816EEF" w:rsidRDefault="00816EEF" w:rsidP="00816EEF">
      <w:pPr>
        <w:spacing w:line="240" w:lineRule="auto"/>
        <w:jc w:val="both"/>
        <w:rPr>
          <w:rFonts w:ascii="Palatino" w:hAnsi="Palatino"/>
          <w:sz w:val="28"/>
        </w:rPr>
      </w:pPr>
    </w:p>
    <w:p w:rsidR="00816EEF" w:rsidRDefault="00816EEF" w:rsidP="00816EEF">
      <w:pPr>
        <w:spacing w:line="240" w:lineRule="auto"/>
        <w:jc w:val="both"/>
        <w:rPr>
          <w:rFonts w:ascii="Palatino" w:hAnsi="Palatino"/>
          <w:sz w:val="28"/>
        </w:rPr>
      </w:pPr>
    </w:p>
    <w:p w:rsidR="00816EEF" w:rsidRPr="00816EEF" w:rsidRDefault="00816EEF" w:rsidP="00816EEF">
      <w:pPr>
        <w:pStyle w:val="BodyText"/>
        <w:spacing w:after="0" w:line="240" w:lineRule="auto"/>
        <w:jc w:val="both"/>
        <w:rPr>
          <w:rFonts w:asciiTheme="minorHAnsi" w:hAnsiTheme="minorHAnsi"/>
          <w:b/>
          <w:bCs/>
          <w:sz w:val="22"/>
          <w:szCs w:val="22"/>
        </w:rPr>
      </w:pPr>
      <w:r w:rsidRPr="00816EEF">
        <w:rPr>
          <w:rFonts w:asciiTheme="minorHAnsi" w:hAnsiTheme="minorHAnsi"/>
          <w:b/>
          <w:bCs/>
          <w:sz w:val="22"/>
          <w:szCs w:val="22"/>
        </w:rPr>
        <w:t>Résumé :</w:t>
      </w:r>
    </w:p>
    <w:p w:rsidR="00816EEF" w:rsidRPr="00816EEF" w:rsidRDefault="00816EEF" w:rsidP="00816EEF">
      <w:pPr>
        <w:spacing w:line="240" w:lineRule="auto"/>
        <w:jc w:val="both"/>
        <w:rPr>
          <w:rFonts w:asciiTheme="minorHAnsi" w:hAnsiTheme="minorHAnsi"/>
          <w:sz w:val="22"/>
          <w:szCs w:val="22"/>
        </w:rPr>
      </w:pPr>
      <w:r w:rsidRPr="00816EEF">
        <w:rPr>
          <w:rFonts w:asciiTheme="minorHAnsi" w:hAnsiTheme="minorHAnsi"/>
          <w:sz w:val="22"/>
          <w:szCs w:val="22"/>
        </w:rPr>
        <w:t xml:space="preserve">Au-delà du plein emploi, la stratégie de Lisbonne fixait aux pays européens l’objectif précis concernant les femmes de dépasser un taux d’emploi de 60% en 2010. Au niveau local de la ville de Nantes, les données recueillies à travers le programme européen FLOWS montrent que cet objectif est atteint, elles montrent aussi combien la prise en charge par des services publics ou privés des petits enfants et de l’aide aux personnes âgées et handicapées est essentielle pour permettre aux femmes d’occuper ces emplois. Mais elles soulèvent aussi, plus largement la question de l’égalité professionnelle entre les hommes et les femmes. En effet, si le taux d’emploi des femmes est désormais proche de celui des hommes, la qualité des emplois dévolus aux femmes apparaît bien moindre que celle des emplois occupés par les hommes avec une prégnance particulière des temps partiels et des faibles salaires. </w:t>
      </w:r>
    </w:p>
    <w:p w:rsidR="00816EEF" w:rsidRPr="00816EEF" w:rsidRDefault="00816EEF" w:rsidP="00816EEF">
      <w:pPr>
        <w:tabs>
          <w:tab w:val="left" w:pos="5103"/>
          <w:tab w:val="left" w:pos="5670"/>
          <w:tab w:val="left" w:pos="6379"/>
        </w:tabs>
        <w:spacing w:line="240" w:lineRule="auto"/>
        <w:jc w:val="both"/>
        <w:rPr>
          <w:rFonts w:asciiTheme="minorHAnsi" w:hAnsiTheme="minorHAnsi"/>
          <w:sz w:val="22"/>
        </w:rPr>
      </w:pPr>
      <w:r w:rsidRPr="00816EEF">
        <w:rPr>
          <w:rFonts w:asciiTheme="minorHAnsi" w:hAnsiTheme="minorHAnsi"/>
          <w:sz w:val="22"/>
          <w:szCs w:val="22"/>
        </w:rPr>
        <w:t xml:space="preserve">La communication s’attachera à montrer le lien entre cette plus faible qualité de l’emploi des femmes et les obligations de </w:t>
      </w:r>
      <w:r w:rsidRPr="00816EEF">
        <w:rPr>
          <w:rFonts w:asciiTheme="minorHAnsi" w:hAnsiTheme="minorHAnsi"/>
          <w:i/>
          <w:sz w:val="22"/>
          <w:szCs w:val="22"/>
        </w:rPr>
        <w:t>care</w:t>
      </w:r>
      <w:r w:rsidRPr="00816EEF">
        <w:rPr>
          <w:rFonts w:asciiTheme="minorHAnsi" w:hAnsiTheme="minorHAnsi"/>
          <w:sz w:val="22"/>
          <w:szCs w:val="22"/>
        </w:rPr>
        <w:t xml:space="preserve">, qui restent assignées prioritairement aux femmes. On verra d’une part comment les services de </w:t>
      </w:r>
      <w:r w:rsidRPr="00816EEF">
        <w:rPr>
          <w:rFonts w:asciiTheme="minorHAnsi" w:hAnsiTheme="minorHAnsi"/>
          <w:i/>
          <w:sz w:val="22"/>
          <w:szCs w:val="22"/>
        </w:rPr>
        <w:t>care</w:t>
      </w:r>
      <w:r w:rsidRPr="00816EEF">
        <w:rPr>
          <w:rFonts w:asciiTheme="minorHAnsi" w:hAnsiTheme="minorHAnsi"/>
          <w:sz w:val="22"/>
          <w:szCs w:val="22"/>
        </w:rPr>
        <w:t xml:space="preserve">, développés dans une perspective de « conciliation » restent insuffisants pour permettre aux femmes d’occuper des emplois sur le mode « masculin » de la disponibilité ; d’autre part comment les emplois créés dans ce champ du </w:t>
      </w:r>
      <w:r w:rsidRPr="00816EEF">
        <w:rPr>
          <w:rFonts w:asciiTheme="minorHAnsi" w:hAnsiTheme="minorHAnsi"/>
          <w:i/>
          <w:sz w:val="22"/>
          <w:szCs w:val="22"/>
        </w:rPr>
        <w:t>care</w:t>
      </w:r>
      <w:r w:rsidRPr="00816EEF">
        <w:rPr>
          <w:rFonts w:asciiTheme="minorHAnsi" w:hAnsiTheme="minorHAnsi"/>
          <w:sz w:val="22"/>
          <w:szCs w:val="22"/>
        </w:rPr>
        <w:t>, occupés principalement par des femmes, ne leur permettent pas de sortir de la précarité, du fait des conditions de travail et d’emploi</w:t>
      </w:r>
      <w:r w:rsidRPr="00816EEF">
        <w:rPr>
          <w:rFonts w:asciiTheme="minorHAnsi" w:hAnsiTheme="minorHAnsi"/>
          <w:sz w:val="22"/>
        </w:rPr>
        <w:t xml:space="preserve"> qui leur sont offertes.</w:t>
      </w:r>
    </w:p>
    <w:p w:rsidR="00816EEF" w:rsidRPr="00816EEF" w:rsidRDefault="00816EEF" w:rsidP="00816EEF">
      <w:pPr>
        <w:tabs>
          <w:tab w:val="left" w:pos="5103"/>
          <w:tab w:val="left" w:pos="5670"/>
          <w:tab w:val="left" w:pos="6379"/>
        </w:tabs>
        <w:spacing w:line="240" w:lineRule="auto"/>
        <w:jc w:val="both"/>
        <w:rPr>
          <w:rFonts w:asciiTheme="minorHAnsi" w:hAnsiTheme="minorHAnsi"/>
          <w:sz w:val="22"/>
        </w:rPr>
      </w:pPr>
    </w:p>
    <w:p w:rsidR="00816EEF" w:rsidRPr="00816EEF" w:rsidRDefault="00816EEF" w:rsidP="00816EEF">
      <w:pPr>
        <w:tabs>
          <w:tab w:val="left" w:pos="5103"/>
          <w:tab w:val="left" w:pos="5670"/>
          <w:tab w:val="left" w:pos="6379"/>
        </w:tabs>
        <w:spacing w:line="240" w:lineRule="auto"/>
        <w:jc w:val="both"/>
        <w:rPr>
          <w:rFonts w:asciiTheme="minorHAnsi" w:hAnsiTheme="minorHAnsi" w:cs="Palatino Linotype"/>
          <w:sz w:val="22"/>
        </w:rPr>
      </w:pPr>
    </w:p>
    <w:p w:rsidR="00816EEF" w:rsidRPr="00816EEF" w:rsidRDefault="00816EEF" w:rsidP="00816EEF">
      <w:pPr>
        <w:pStyle w:val="BodyText"/>
        <w:spacing w:after="0" w:line="240" w:lineRule="auto"/>
        <w:jc w:val="both"/>
        <w:rPr>
          <w:rFonts w:asciiTheme="minorHAnsi" w:hAnsiTheme="minorHAnsi" w:cs="Palatino Linotype"/>
          <w:b/>
          <w:bCs/>
          <w:sz w:val="22"/>
          <w:szCs w:val="22"/>
        </w:rPr>
      </w:pPr>
    </w:p>
    <w:p w:rsidR="00816EEF" w:rsidRPr="00816EEF" w:rsidRDefault="00816EEF" w:rsidP="00816EEF">
      <w:pPr>
        <w:pStyle w:val="BodyText"/>
        <w:spacing w:after="0" w:line="240" w:lineRule="auto"/>
        <w:jc w:val="both"/>
        <w:rPr>
          <w:rFonts w:asciiTheme="minorHAnsi" w:hAnsiTheme="minorHAnsi"/>
          <w:sz w:val="22"/>
          <w:szCs w:val="22"/>
        </w:rPr>
      </w:pPr>
      <w:r w:rsidRPr="00816EEF">
        <w:rPr>
          <w:rFonts w:asciiTheme="minorHAnsi" w:hAnsiTheme="minorHAnsi" w:cs="Palatino Linotype"/>
          <w:b/>
          <w:bCs/>
          <w:sz w:val="22"/>
          <w:szCs w:val="22"/>
        </w:rPr>
        <w:t>Biographies</w:t>
      </w:r>
    </w:p>
    <w:p w:rsidR="00816EEF" w:rsidRPr="00816EEF" w:rsidRDefault="00816EEF" w:rsidP="00816EEF">
      <w:pPr>
        <w:pStyle w:val="BodyText"/>
        <w:spacing w:after="0" w:line="240" w:lineRule="auto"/>
        <w:jc w:val="both"/>
        <w:rPr>
          <w:rFonts w:asciiTheme="minorHAnsi" w:hAnsiTheme="minorHAnsi" w:cs="Palatino Linotype"/>
          <w:sz w:val="22"/>
          <w:szCs w:val="22"/>
        </w:rPr>
      </w:pPr>
      <w:r w:rsidRPr="00816EEF">
        <w:rPr>
          <w:rFonts w:asciiTheme="minorHAnsi" w:hAnsiTheme="minorHAnsi"/>
          <w:sz w:val="22"/>
          <w:szCs w:val="22"/>
        </w:rPr>
        <w:t xml:space="preserve">Annie </w:t>
      </w:r>
      <w:proofErr w:type="spellStart"/>
      <w:r w:rsidRPr="00816EEF">
        <w:rPr>
          <w:rFonts w:asciiTheme="minorHAnsi" w:hAnsiTheme="minorHAnsi"/>
          <w:sz w:val="22"/>
          <w:szCs w:val="22"/>
        </w:rPr>
        <w:t>Dussuet</w:t>
      </w:r>
      <w:proofErr w:type="spellEnd"/>
      <w:r w:rsidRPr="00816EEF">
        <w:rPr>
          <w:rFonts w:asciiTheme="minorHAnsi" w:hAnsiTheme="minorHAnsi"/>
          <w:sz w:val="22"/>
          <w:szCs w:val="22"/>
        </w:rPr>
        <w:t xml:space="preserve"> est maîtresse de conférences HDR en sociologie à l'université de Nantes, membre du Centre Nantais de Sociologie (CENS-EA3260), et associée à l’équipe GTM du CRESPPA. </w:t>
      </w:r>
      <w:r w:rsidRPr="00816EEF">
        <w:rPr>
          <w:rFonts w:asciiTheme="minorHAnsi" w:hAnsiTheme="minorHAnsi" w:cs="Palatino Linotype"/>
          <w:sz w:val="22"/>
          <w:szCs w:val="22"/>
        </w:rPr>
        <w:t xml:space="preserve">Ses recherches portent sur les formes du travail et de l’emploi dans les services  dans une perspective de genre ; elle s’intéresse particulièrement aux situations limites où le travail n’est pas perçu comme du « vrai travail », en focalisant sur les organisations associatives. Elle participe au programme de comparaison internationale FLOWS du 7è PCRD  (Impact of local </w:t>
      </w:r>
      <w:proofErr w:type="spellStart"/>
      <w:r w:rsidRPr="00816EEF">
        <w:rPr>
          <w:rFonts w:asciiTheme="minorHAnsi" w:hAnsiTheme="minorHAnsi" w:cs="Palatino Linotype"/>
          <w:sz w:val="22"/>
          <w:szCs w:val="22"/>
        </w:rPr>
        <w:t>welfare</w:t>
      </w:r>
      <w:proofErr w:type="spellEnd"/>
      <w:r w:rsidRPr="00816EEF">
        <w:rPr>
          <w:rFonts w:asciiTheme="minorHAnsi" w:hAnsiTheme="minorHAnsi" w:cs="Palatino Linotype"/>
          <w:sz w:val="22"/>
          <w:szCs w:val="22"/>
        </w:rPr>
        <w:t xml:space="preserve"> </w:t>
      </w:r>
      <w:proofErr w:type="spellStart"/>
      <w:r w:rsidRPr="00816EEF">
        <w:rPr>
          <w:rFonts w:asciiTheme="minorHAnsi" w:hAnsiTheme="minorHAnsi" w:cs="Palatino Linotype"/>
          <w:sz w:val="22"/>
          <w:szCs w:val="22"/>
        </w:rPr>
        <w:t>systems</w:t>
      </w:r>
      <w:proofErr w:type="spellEnd"/>
      <w:r w:rsidRPr="00816EEF">
        <w:rPr>
          <w:rFonts w:asciiTheme="minorHAnsi" w:hAnsiTheme="minorHAnsi" w:cs="Palatino Linotype"/>
          <w:sz w:val="22"/>
          <w:szCs w:val="22"/>
        </w:rPr>
        <w:t xml:space="preserve"> on </w:t>
      </w:r>
      <w:proofErr w:type="spellStart"/>
      <w:r w:rsidRPr="00816EEF">
        <w:rPr>
          <w:rFonts w:asciiTheme="minorHAnsi" w:hAnsiTheme="minorHAnsi" w:cs="Palatino Linotype"/>
          <w:sz w:val="22"/>
          <w:szCs w:val="22"/>
        </w:rPr>
        <w:t>female</w:t>
      </w:r>
      <w:proofErr w:type="spellEnd"/>
      <w:r w:rsidRPr="00816EEF">
        <w:rPr>
          <w:rFonts w:asciiTheme="minorHAnsi" w:hAnsiTheme="minorHAnsi" w:cs="Palatino Linotype"/>
          <w:sz w:val="22"/>
          <w:szCs w:val="22"/>
        </w:rPr>
        <w:t xml:space="preserve"> labour force participation and social </w:t>
      </w:r>
      <w:proofErr w:type="spellStart"/>
      <w:r w:rsidRPr="00816EEF">
        <w:rPr>
          <w:rFonts w:asciiTheme="minorHAnsi" w:hAnsiTheme="minorHAnsi" w:cs="Palatino Linotype"/>
          <w:sz w:val="22"/>
          <w:szCs w:val="22"/>
        </w:rPr>
        <w:t>cohesion</w:t>
      </w:r>
      <w:proofErr w:type="spellEnd"/>
      <w:r w:rsidRPr="00816EEF">
        <w:rPr>
          <w:rFonts w:asciiTheme="minorHAnsi" w:hAnsiTheme="minorHAnsi" w:cs="Palatino Linotype"/>
          <w:sz w:val="22"/>
          <w:szCs w:val="22"/>
        </w:rPr>
        <w:t xml:space="preserve">) et coordonne le volet nantais du programme « Genre et discriminations » de la Région Pays de la Loire (2014-2017). </w:t>
      </w:r>
    </w:p>
    <w:p w:rsidR="00816EEF" w:rsidRPr="00816EEF" w:rsidRDefault="00816EEF" w:rsidP="00816EEF">
      <w:pPr>
        <w:pStyle w:val="BodyText"/>
        <w:spacing w:after="0" w:line="240" w:lineRule="auto"/>
        <w:jc w:val="both"/>
        <w:rPr>
          <w:rFonts w:asciiTheme="minorHAnsi" w:hAnsiTheme="minorHAnsi" w:cs="Palatino Linotype"/>
          <w:sz w:val="22"/>
          <w:szCs w:val="22"/>
        </w:rPr>
      </w:pPr>
    </w:p>
    <w:p w:rsidR="00816EEF" w:rsidRPr="00816EEF" w:rsidRDefault="00816EEF" w:rsidP="00816EEF">
      <w:pPr>
        <w:pStyle w:val="BodyText"/>
        <w:spacing w:after="0" w:line="240" w:lineRule="auto"/>
        <w:jc w:val="both"/>
        <w:rPr>
          <w:rStyle w:val="Hyperlink"/>
          <w:rFonts w:asciiTheme="minorHAnsi" w:hAnsiTheme="minorHAnsi" w:cs="Palatino Linotype"/>
          <w:color w:val="00000A"/>
          <w:sz w:val="22"/>
          <w:szCs w:val="22"/>
          <w:u w:val="none"/>
          <w:lang w:val="fr-FR" w:eastAsia="ar-SA" w:bidi="ar-SA"/>
        </w:rPr>
      </w:pPr>
      <w:r w:rsidRPr="00816EEF">
        <w:rPr>
          <w:rFonts w:asciiTheme="minorHAnsi" w:hAnsiTheme="minorHAnsi" w:cs="Palatino Linotype"/>
          <w:sz w:val="22"/>
          <w:szCs w:val="22"/>
        </w:rPr>
        <w:t xml:space="preserve">Monique </w:t>
      </w:r>
      <w:proofErr w:type="spellStart"/>
      <w:r w:rsidRPr="00816EEF">
        <w:rPr>
          <w:rFonts w:asciiTheme="minorHAnsi" w:hAnsiTheme="minorHAnsi" w:cs="Palatino Linotype"/>
          <w:sz w:val="22"/>
          <w:szCs w:val="22"/>
        </w:rPr>
        <w:t>Bigoteau</w:t>
      </w:r>
      <w:proofErr w:type="spellEnd"/>
      <w:r w:rsidRPr="00816EEF">
        <w:rPr>
          <w:rFonts w:asciiTheme="minorHAnsi" w:hAnsiTheme="minorHAnsi" w:cs="Palatino Linotype"/>
          <w:sz w:val="22"/>
          <w:szCs w:val="22"/>
        </w:rPr>
        <w:t xml:space="preserve"> est ingénieure de recherche  en géographie au sein de l’UMR 6590 Espaces et sociétés. </w:t>
      </w:r>
      <w:r w:rsidRPr="00816EEF">
        <w:rPr>
          <w:rFonts w:asciiTheme="minorHAnsi" w:hAnsiTheme="minorHAnsi"/>
          <w:sz w:val="22"/>
          <w:szCs w:val="22"/>
        </w:rPr>
        <w:t xml:space="preserve">Après des recherches sur l’engagement des femmes dans la vie politique municipale (Bretagne, Pays de la Loire) et les questions de parité en politique, elle est impliquée dans l’équipe française du programme européen FLOWS </w:t>
      </w:r>
      <w:r w:rsidRPr="00816EEF">
        <w:rPr>
          <w:rFonts w:asciiTheme="minorHAnsi" w:hAnsiTheme="minorHAnsi" w:cs="Palatino Linotype"/>
          <w:sz w:val="22"/>
          <w:szCs w:val="22"/>
        </w:rPr>
        <w:t xml:space="preserve">du 7è PCRD  (Impact of local </w:t>
      </w:r>
      <w:proofErr w:type="spellStart"/>
      <w:r w:rsidRPr="00816EEF">
        <w:rPr>
          <w:rFonts w:asciiTheme="minorHAnsi" w:hAnsiTheme="minorHAnsi" w:cs="Palatino Linotype"/>
          <w:sz w:val="22"/>
          <w:szCs w:val="22"/>
        </w:rPr>
        <w:t>welfare</w:t>
      </w:r>
      <w:proofErr w:type="spellEnd"/>
      <w:r w:rsidRPr="00816EEF">
        <w:rPr>
          <w:rFonts w:asciiTheme="minorHAnsi" w:hAnsiTheme="minorHAnsi" w:cs="Palatino Linotype"/>
          <w:sz w:val="22"/>
          <w:szCs w:val="22"/>
        </w:rPr>
        <w:t xml:space="preserve"> </w:t>
      </w:r>
      <w:proofErr w:type="spellStart"/>
      <w:r w:rsidRPr="00816EEF">
        <w:rPr>
          <w:rFonts w:asciiTheme="minorHAnsi" w:hAnsiTheme="minorHAnsi" w:cs="Palatino Linotype"/>
          <w:sz w:val="22"/>
          <w:szCs w:val="22"/>
        </w:rPr>
        <w:t>systems</w:t>
      </w:r>
      <w:proofErr w:type="spellEnd"/>
      <w:r w:rsidRPr="00816EEF">
        <w:rPr>
          <w:rFonts w:asciiTheme="minorHAnsi" w:hAnsiTheme="minorHAnsi" w:cs="Palatino Linotype"/>
          <w:sz w:val="22"/>
          <w:szCs w:val="22"/>
        </w:rPr>
        <w:t xml:space="preserve"> on </w:t>
      </w:r>
      <w:proofErr w:type="spellStart"/>
      <w:r w:rsidRPr="00816EEF">
        <w:rPr>
          <w:rFonts w:asciiTheme="minorHAnsi" w:hAnsiTheme="minorHAnsi" w:cs="Palatino Linotype"/>
          <w:sz w:val="22"/>
          <w:szCs w:val="22"/>
        </w:rPr>
        <w:t>female</w:t>
      </w:r>
      <w:proofErr w:type="spellEnd"/>
      <w:r w:rsidRPr="00816EEF">
        <w:rPr>
          <w:rFonts w:asciiTheme="minorHAnsi" w:hAnsiTheme="minorHAnsi" w:cs="Palatino Linotype"/>
          <w:sz w:val="22"/>
          <w:szCs w:val="22"/>
        </w:rPr>
        <w:t xml:space="preserve"> labour force participation and social </w:t>
      </w:r>
      <w:proofErr w:type="spellStart"/>
      <w:r w:rsidRPr="00816EEF">
        <w:rPr>
          <w:rFonts w:asciiTheme="minorHAnsi" w:hAnsiTheme="minorHAnsi" w:cs="Palatino Linotype"/>
          <w:sz w:val="22"/>
          <w:szCs w:val="22"/>
        </w:rPr>
        <w:t>cohesion</w:t>
      </w:r>
      <w:proofErr w:type="spellEnd"/>
      <w:r w:rsidRPr="00816EEF">
        <w:rPr>
          <w:rFonts w:asciiTheme="minorHAnsi" w:hAnsiTheme="minorHAnsi" w:cs="Palatino Linotype"/>
          <w:sz w:val="22"/>
          <w:szCs w:val="22"/>
        </w:rPr>
        <w:t>, 2010-2014), l’axe 3 du programme régional « Genre et discriminations »</w:t>
      </w:r>
      <w:r w:rsidRPr="00816EEF">
        <w:rPr>
          <w:rFonts w:asciiTheme="minorHAnsi" w:hAnsiTheme="minorHAnsi"/>
          <w:sz w:val="22"/>
          <w:szCs w:val="22"/>
        </w:rPr>
        <w:t xml:space="preserve"> coordonné par Christine Bard (2014-2017) et dans le projet coordonné par Erika </w:t>
      </w:r>
      <w:proofErr w:type="spellStart"/>
      <w:r w:rsidRPr="00816EEF">
        <w:rPr>
          <w:rFonts w:asciiTheme="minorHAnsi" w:hAnsiTheme="minorHAnsi"/>
          <w:sz w:val="22"/>
          <w:szCs w:val="22"/>
        </w:rPr>
        <w:t>Flahault</w:t>
      </w:r>
      <w:proofErr w:type="spellEnd"/>
      <w:r w:rsidRPr="00816EEF">
        <w:rPr>
          <w:rFonts w:asciiTheme="minorHAnsi" w:hAnsiTheme="minorHAnsi"/>
          <w:sz w:val="22"/>
          <w:szCs w:val="22"/>
        </w:rPr>
        <w:t xml:space="preserve"> sur « Territoires et fabrique du genre », financé par le GIS Institut du Genre (2013) </w:t>
      </w:r>
    </w:p>
    <w:p w:rsidR="00816EEF" w:rsidRPr="00816EEF" w:rsidRDefault="00816EEF" w:rsidP="00816EEF">
      <w:pPr>
        <w:pStyle w:val="BodyText"/>
        <w:spacing w:after="0" w:line="240" w:lineRule="auto"/>
        <w:jc w:val="both"/>
        <w:rPr>
          <w:rFonts w:asciiTheme="minorHAnsi" w:hAnsiTheme="minorHAnsi" w:cs="Palatino Linotype"/>
          <w:sz w:val="22"/>
          <w:szCs w:val="22"/>
        </w:rPr>
      </w:pPr>
    </w:p>
    <w:p w:rsidR="00816EEF" w:rsidRPr="00816EEF" w:rsidRDefault="00816EEF" w:rsidP="00816EEF">
      <w:pPr>
        <w:pStyle w:val="BodyText"/>
        <w:spacing w:after="0" w:line="240" w:lineRule="auto"/>
        <w:jc w:val="both"/>
        <w:rPr>
          <w:rFonts w:asciiTheme="minorHAnsi" w:hAnsiTheme="minorHAnsi" w:cs="Palatino Linotype"/>
          <w:b/>
          <w:bCs/>
          <w:sz w:val="22"/>
          <w:szCs w:val="22"/>
        </w:rPr>
      </w:pPr>
    </w:p>
    <w:p w:rsidR="00816EEF" w:rsidRPr="00816EEF" w:rsidRDefault="00816EEF" w:rsidP="00816EEF">
      <w:pPr>
        <w:pStyle w:val="BodyText"/>
        <w:spacing w:after="0" w:line="240" w:lineRule="auto"/>
        <w:jc w:val="both"/>
        <w:rPr>
          <w:rFonts w:asciiTheme="minorHAnsi" w:hAnsiTheme="minorHAnsi" w:cs="Palatino Linotype"/>
          <w:i/>
          <w:iCs/>
          <w:sz w:val="22"/>
          <w:szCs w:val="22"/>
        </w:rPr>
      </w:pPr>
      <w:r w:rsidRPr="00816EEF">
        <w:rPr>
          <w:rFonts w:asciiTheme="minorHAnsi" w:hAnsiTheme="minorHAnsi" w:cs="Palatino Linotype"/>
          <w:b/>
          <w:bCs/>
          <w:sz w:val="22"/>
          <w:szCs w:val="22"/>
        </w:rPr>
        <w:t>Principales publications (facultatif) </w:t>
      </w:r>
      <w:r w:rsidRPr="00816EEF">
        <w:rPr>
          <w:rFonts w:asciiTheme="minorHAnsi" w:hAnsiTheme="minorHAnsi" w:cs="Palatino Linotype"/>
          <w:sz w:val="22"/>
          <w:szCs w:val="22"/>
        </w:rPr>
        <w:t xml:space="preserve">: </w:t>
      </w:r>
    </w:p>
    <w:p w:rsidR="00816EEF" w:rsidRPr="00816EEF" w:rsidRDefault="00816EEF" w:rsidP="00816EEF">
      <w:pPr>
        <w:pStyle w:val="NormalWeb"/>
        <w:tabs>
          <w:tab w:val="left" w:pos="4536"/>
          <w:tab w:val="left" w:pos="5103"/>
        </w:tabs>
        <w:spacing w:before="0" w:after="0" w:line="240" w:lineRule="auto"/>
        <w:jc w:val="both"/>
        <w:rPr>
          <w:rFonts w:asciiTheme="minorHAnsi" w:hAnsiTheme="minorHAnsi"/>
          <w:sz w:val="22"/>
        </w:rPr>
      </w:pPr>
      <w:r w:rsidRPr="00816EEF">
        <w:rPr>
          <w:rFonts w:asciiTheme="minorHAnsi" w:hAnsiTheme="minorHAnsi" w:cs="Palatino Linotype"/>
          <w:i/>
          <w:iCs/>
          <w:sz w:val="22"/>
          <w:szCs w:val="22"/>
        </w:rPr>
        <w:t>Travaux de femmes – enquêtes sur les services à domicile</w:t>
      </w:r>
      <w:r w:rsidRPr="00816EEF">
        <w:rPr>
          <w:rFonts w:asciiTheme="minorHAnsi" w:hAnsiTheme="minorHAnsi" w:cs="Palatino Linotype"/>
          <w:sz w:val="22"/>
          <w:szCs w:val="22"/>
        </w:rPr>
        <w:t xml:space="preserve">, aux Editions L’Harmattan en 2005, et « Gestion des émotions, santé et régulation du travail dans les services à domicile », </w:t>
      </w:r>
      <w:r w:rsidRPr="00816EEF">
        <w:rPr>
          <w:rFonts w:asciiTheme="minorHAnsi" w:hAnsiTheme="minorHAnsi" w:cs="Palatino Linotype"/>
          <w:i/>
          <w:iCs/>
          <w:sz w:val="22"/>
          <w:szCs w:val="22"/>
        </w:rPr>
        <w:t>Revue multidisciplinaire sur l'emploi, le syndicalisme et le travail (REMEST)</w:t>
      </w:r>
      <w:r w:rsidRPr="00816EEF">
        <w:rPr>
          <w:rFonts w:asciiTheme="minorHAnsi" w:hAnsiTheme="minorHAnsi" w:cs="Palatino Linotype"/>
          <w:sz w:val="22"/>
          <w:szCs w:val="22"/>
        </w:rPr>
        <w:t xml:space="preserve">, n° 2, en 2011. </w:t>
      </w:r>
      <w:hyperlink r:id="rId7" w:history="1">
        <w:r w:rsidRPr="00816EEF">
          <w:rPr>
            <w:rStyle w:val="Hyperlink"/>
            <w:rFonts w:asciiTheme="minorHAnsi" w:hAnsiTheme="minorHAnsi"/>
            <w:sz w:val="22"/>
          </w:rPr>
          <w:t>http://www.remest.ca/documents/DussuetREMESTVol6no2.pdf</w:t>
        </w:r>
      </w:hyperlink>
      <w:r w:rsidRPr="00816EEF">
        <w:rPr>
          <w:rFonts w:asciiTheme="minorHAnsi" w:hAnsiTheme="minorHAnsi" w:cs="Palatino Linotype"/>
          <w:bCs/>
          <w:sz w:val="22"/>
          <w:szCs w:val="22"/>
        </w:rPr>
        <w:t>.</w:t>
      </w:r>
    </w:p>
    <w:p w:rsidR="00816EEF" w:rsidRPr="00816EEF" w:rsidRDefault="00816EEF" w:rsidP="00816EEF">
      <w:pPr>
        <w:widowControl w:val="0"/>
        <w:autoSpaceDE w:val="0"/>
        <w:autoSpaceDN w:val="0"/>
        <w:adjustRightInd w:val="0"/>
        <w:spacing w:line="240" w:lineRule="auto"/>
        <w:jc w:val="both"/>
        <w:rPr>
          <w:rFonts w:asciiTheme="minorHAnsi" w:hAnsiTheme="minorHAnsi"/>
          <w:sz w:val="22"/>
          <w:szCs w:val="20"/>
          <w:lang w:val="en-US"/>
        </w:rPr>
      </w:pPr>
      <w:r w:rsidRPr="00816EEF">
        <w:rPr>
          <w:rFonts w:asciiTheme="minorHAnsi" w:hAnsiTheme="minorHAnsi"/>
          <w:sz w:val="22"/>
          <w:szCs w:val="20"/>
          <w:lang w:val="en-US"/>
        </w:rPr>
        <w:t>BIGOTEAU M., CAILLAUD P., CHAUDET B., DUSSUET A. et PERIBOIS C. (2012</w:t>
      </w:r>
      <w:r w:rsidRPr="00816EEF">
        <w:rPr>
          <w:rFonts w:asciiTheme="minorHAnsi" w:hAnsiTheme="minorHAnsi"/>
          <w:i/>
          <w:sz w:val="22"/>
          <w:szCs w:val="20"/>
          <w:lang w:val="en-US"/>
        </w:rPr>
        <w:t xml:space="preserve">), WP </w:t>
      </w:r>
      <w:proofErr w:type="gramStart"/>
      <w:r w:rsidRPr="00816EEF">
        <w:rPr>
          <w:rFonts w:asciiTheme="minorHAnsi" w:hAnsiTheme="minorHAnsi"/>
          <w:i/>
          <w:sz w:val="22"/>
          <w:szCs w:val="20"/>
          <w:lang w:val="en-US"/>
        </w:rPr>
        <w:t>3 :</w:t>
      </w:r>
      <w:proofErr w:type="gramEnd"/>
      <w:r w:rsidRPr="00816EEF">
        <w:rPr>
          <w:rFonts w:asciiTheme="minorHAnsi" w:hAnsiTheme="minorHAnsi"/>
          <w:i/>
          <w:sz w:val="22"/>
          <w:szCs w:val="20"/>
          <w:lang w:val="en-US"/>
        </w:rPr>
        <w:t xml:space="preserve"> The local welfare system - National Report of Nantes (France), Intermediary report of FLOWS project</w:t>
      </w:r>
      <w:r w:rsidRPr="00816EEF">
        <w:rPr>
          <w:rFonts w:asciiTheme="minorHAnsi" w:hAnsiTheme="minorHAnsi"/>
          <w:sz w:val="22"/>
          <w:szCs w:val="20"/>
          <w:lang w:val="en-US"/>
        </w:rPr>
        <w:t xml:space="preserve">, MSH </w:t>
      </w:r>
      <w:proofErr w:type="spellStart"/>
      <w:r w:rsidRPr="00816EEF">
        <w:rPr>
          <w:rFonts w:asciiTheme="minorHAnsi" w:hAnsiTheme="minorHAnsi"/>
          <w:sz w:val="22"/>
          <w:szCs w:val="20"/>
          <w:lang w:val="en-US"/>
        </w:rPr>
        <w:t>Ange-Guépin</w:t>
      </w:r>
      <w:proofErr w:type="spellEnd"/>
      <w:r w:rsidRPr="00816EEF">
        <w:rPr>
          <w:rFonts w:asciiTheme="minorHAnsi" w:hAnsiTheme="minorHAnsi"/>
          <w:sz w:val="22"/>
          <w:szCs w:val="20"/>
          <w:lang w:val="en-US"/>
        </w:rPr>
        <w:t>, Nantes, June, 68 p.</w:t>
      </w:r>
    </w:p>
    <w:p w:rsidR="00816EEF" w:rsidRPr="00816EEF" w:rsidRDefault="00816EEF" w:rsidP="00816EEF">
      <w:pPr>
        <w:widowControl w:val="0"/>
        <w:autoSpaceDE w:val="0"/>
        <w:autoSpaceDN w:val="0"/>
        <w:adjustRightInd w:val="0"/>
        <w:spacing w:line="240" w:lineRule="auto"/>
        <w:jc w:val="both"/>
        <w:rPr>
          <w:rFonts w:asciiTheme="minorHAnsi" w:hAnsiTheme="minorHAnsi"/>
          <w:sz w:val="22"/>
          <w:szCs w:val="20"/>
        </w:rPr>
      </w:pPr>
      <w:r w:rsidRPr="00816EEF">
        <w:rPr>
          <w:rFonts w:asciiTheme="minorHAnsi" w:hAnsiTheme="minorHAnsi"/>
          <w:color w:val="000000"/>
          <w:sz w:val="22"/>
          <w:szCs w:val="20"/>
        </w:rPr>
        <w:t xml:space="preserve">BIGOTEAU M., GARAT I., MOREAU G., 2009, </w:t>
      </w:r>
      <w:r w:rsidRPr="00816EEF">
        <w:rPr>
          <w:rFonts w:asciiTheme="minorHAnsi" w:hAnsiTheme="minorHAnsi"/>
          <w:i/>
          <w:color w:val="000000"/>
          <w:sz w:val="22"/>
          <w:szCs w:val="20"/>
        </w:rPr>
        <w:t>Les jeunes dans la ville, atlas social de Nantes Métropole</w:t>
      </w:r>
      <w:r w:rsidRPr="00816EEF">
        <w:rPr>
          <w:rFonts w:asciiTheme="minorHAnsi" w:hAnsiTheme="minorHAnsi"/>
          <w:color w:val="000000"/>
          <w:sz w:val="22"/>
          <w:szCs w:val="20"/>
        </w:rPr>
        <w:t>, Rennes, Presses Universitaires de Rennes, 117 p. (coll. Géographie sociale)</w:t>
      </w:r>
    </w:p>
    <w:p w:rsidR="00816EEF" w:rsidRPr="00816EEF" w:rsidRDefault="00816EEF" w:rsidP="00816EEF">
      <w:pPr>
        <w:widowControl w:val="0"/>
        <w:autoSpaceDE w:val="0"/>
        <w:autoSpaceDN w:val="0"/>
        <w:adjustRightInd w:val="0"/>
        <w:spacing w:line="240" w:lineRule="auto"/>
        <w:jc w:val="both"/>
        <w:rPr>
          <w:rFonts w:asciiTheme="minorHAnsi" w:hAnsiTheme="minorHAnsi"/>
          <w:color w:val="000000"/>
          <w:sz w:val="22"/>
          <w:szCs w:val="20"/>
        </w:rPr>
      </w:pPr>
      <w:r w:rsidRPr="00816EEF">
        <w:rPr>
          <w:rFonts w:asciiTheme="minorHAnsi" w:hAnsiTheme="minorHAnsi"/>
          <w:color w:val="000000"/>
          <w:sz w:val="22"/>
          <w:szCs w:val="20"/>
        </w:rPr>
        <w:t xml:space="preserve">BIGOTEAU M., ROUX N., 2004, « Femmes élues, leurs responsabilités dans la gestion des villes », pp. 325-337, in </w:t>
      </w:r>
      <w:r w:rsidRPr="00816EEF">
        <w:rPr>
          <w:rFonts w:asciiTheme="minorHAnsi" w:hAnsiTheme="minorHAnsi"/>
          <w:i/>
          <w:color w:val="000000"/>
          <w:sz w:val="22"/>
          <w:szCs w:val="20"/>
        </w:rPr>
        <w:t>Femmes et ville</w:t>
      </w:r>
      <w:r w:rsidRPr="00816EEF">
        <w:rPr>
          <w:rFonts w:asciiTheme="minorHAnsi" w:hAnsiTheme="minorHAnsi"/>
          <w:color w:val="000000"/>
          <w:sz w:val="22"/>
          <w:szCs w:val="20"/>
        </w:rPr>
        <w:t xml:space="preserve">,  </w:t>
      </w:r>
      <w:proofErr w:type="spellStart"/>
      <w:r w:rsidRPr="00816EEF">
        <w:rPr>
          <w:rFonts w:asciiTheme="minorHAnsi" w:hAnsiTheme="minorHAnsi"/>
          <w:color w:val="000000"/>
          <w:sz w:val="22"/>
          <w:szCs w:val="20"/>
        </w:rPr>
        <w:t>Denèfle</w:t>
      </w:r>
      <w:proofErr w:type="spellEnd"/>
      <w:r w:rsidRPr="00816EEF">
        <w:rPr>
          <w:rFonts w:asciiTheme="minorHAnsi" w:hAnsiTheme="minorHAnsi"/>
          <w:color w:val="000000"/>
          <w:sz w:val="22"/>
          <w:szCs w:val="20"/>
        </w:rPr>
        <w:t xml:space="preserve"> Sylvette, </w:t>
      </w:r>
      <w:proofErr w:type="spellStart"/>
      <w:r w:rsidRPr="00816EEF">
        <w:rPr>
          <w:rFonts w:asciiTheme="minorHAnsi" w:hAnsiTheme="minorHAnsi"/>
          <w:color w:val="000000"/>
          <w:sz w:val="22"/>
          <w:szCs w:val="20"/>
        </w:rPr>
        <w:t>dir</w:t>
      </w:r>
      <w:proofErr w:type="spellEnd"/>
      <w:r w:rsidRPr="00816EEF">
        <w:rPr>
          <w:rFonts w:asciiTheme="minorHAnsi" w:hAnsiTheme="minorHAnsi"/>
          <w:color w:val="000000"/>
          <w:sz w:val="22"/>
          <w:szCs w:val="20"/>
        </w:rPr>
        <w:t>., Tours, Presses universitaires François Rabelais, Maison des Sciences de l’Homme « Villes et territoires », 539 pages</w:t>
      </w:r>
    </w:p>
    <w:p w:rsidR="00816EEF" w:rsidRPr="00816EEF" w:rsidRDefault="00816EEF" w:rsidP="00816EEF">
      <w:pPr>
        <w:widowControl w:val="0"/>
        <w:autoSpaceDE w:val="0"/>
        <w:autoSpaceDN w:val="0"/>
        <w:adjustRightInd w:val="0"/>
        <w:jc w:val="both"/>
        <w:rPr>
          <w:rFonts w:asciiTheme="minorHAnsi" w:hAnsiTheme="minorHAnsi"/>
          <w:color w:val="000000"/>
          <w:sz w:val="22"/>
          <w:szCs w:val="18"/>
        </w:rPr>
      </w:pPr>
    </w:p>
    <w:p w:rsidR="00816EEF" w:rsidRPr="00816EEF" w:rsidRDefault="00816EEF" w:rsidP="00816EEF">
      <w:pPr>
        <w:pStyle w:val="BodyText"/>
        <w:jc w:val="both"/>
        <w:rPr>
          <w:rFonts w:asciiTheme="minorHAnsi" w:hAnsiTheme="minorHAnsi"/>
          <w:b/>
          <w:bCs/>
          <w:sz w:val="22"/>
          <w:szCs w:val="22"/>
        </w:rPr>
      </w:pPr>
    </w:p>
    <w:p w:rsidR="00816EEF" w:rsidRPr="00816EEF" w:rsidRDefault="00816EEF" w:rsidP="00816EEF">
      <w:pPr>
        <w:jc w:val="both"/>
        <w:rPr>
          <w:rFonts w:asciiTheme="minorHAnsi" w:eastAsiaTheme="minorHAnsi" w:hAnsiTheme="minorHAnsi" w:cstheme="minorBidi"/>
          <w:color w:val="auto"/>
          <w:kern w:val="0"/>
          <w:sz w:val="22"/>
          <w:lang w:eastAsia="en-US"/>
        </w:rPr>
      </w:pPr>
    </w:p>
    <w:sectPr w:rsidR="00816EEF" w:rsidRPr="00816EEF" w:rsidSect="006B56B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Palatino">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6EEF"/>
    <w:rsid w:val="00816EEF"/>
  </w:rsids>
  <m:mathPr>
    <m:mathFont m:val="Palatino"/>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EF"/>
    <w:pPr>
      <w:suppressAutoHyphens/>
      <w:spacing w:line="100" w:lineRule="atLeast"/>
    </w:pPr>
    <w:rPr>
      <w:rFonts w:ascii="Times New Roman" w:eastAsia="Times New Roman" w:hAnsi="Times New Roman" w:cs="Times New Roman"/>
      <w:color w:val="00000A"/>
      <w:kern w:val="1"/>
      <w:lang w:eastAsia="fr-FR"/>
    </w:rPr>
  </w:style>
  <w:style w:type="paragraph" w:styleId="Heading7">
    <w:name w:val="heading 7"/>
    <w:basedOn w:val="Normal"/>
    <w:next w:val="BodyText"/>
    <w:link w:val="Heading7Char"/>
    <w:qFormat/>
    <w:rsid w:val="00816EEF"/>
    <w:pPr>
      <w:keepNext/>
      <w:numPr>
        <w:ilvl w:val="6"/>
        <w:numId w:val="1"/>
      </w:numPr>
      <w:tabs>
        <w:tab w:val="left" w:pos="5103"/>
      </w:tabs>
      <w:spacing w:before="120" w:after="120"/>
      <w:outlineLvl w:val="6"/>
    </w:pPr>
    <w:rPr>
      <w:rFonts w:ascii="Garamond" w:hAnsi="Garamond" w:cs="Garamon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C0478"/>
    <w:pPr>
      <w:spacing w:after="120" w:line="273" w:lineRule="auto"/>
    </w:pPr>
    <w:rPr>
      <w:rFonts w:ascii="Calibri" w:hAnsi="Calibri" w:cs="Calibri"/>
      <w:sz w:val="21"/>
      <w:szCs w:val="21"/>
      <w:lang w:eastAsia="ar-SA"/>
    </w:rPr>
  </w:style>
  <w:style w:type="character" w:customStyle="1" w:styleId="BodyTextChar">
    <w:name w:val="Body Text Char"/>
    <w:basedOn w:val="DefaultParagraphFont"/>
    <w:link w:val="BodyText"/>
    <w:rsid w:val="007C0478"/>
    <w:rPr>
      <w:rFonts w:ascii="Calibri" w:eastAsia="Times New Roman" w:hAnsi="Calibri" w:cs="Calibri"/>
      <w:sz w:val="21"/>
      <w:szCs w:val="21"/>
      <w:lang w:eastAsia="ar-SA"/>
    </w:rPr>
  </w:style>
  <w:style w:type="paragraph" w:styleId="BalloonText">
    <w:name w:val="Balloon Text"/>
    <w:basedOn w:val="Normal"/>
    <w:link w:val="BalloonTextChar"/>
    <w:uiPriority w:val="99"/>
    <w:semiHidden/>
    <w:rsid w:val="007C0478"/>
    <w:pPr>
      <w:spacing w:after="180" w:line="273" w:lineRule="auto"/>
    </w:pPr>
    <w:rPr>
      <w:sz w:val="2"/>
      <w:szCs w:val="2"/>
      <w:lang w:eastAsia="ar-SA"/>
    </w:rPr>
  </w:style>
  <w:style w:type="character" w:customStyle="1" w:styleId="BalloonTextChar">
    <w:name w:val="Balloon Text Char"/>
    <w:basedOn w:val="DefaultParagraphFont"/>
    <w:link w:val="BalloonText"/>
    <w:uiPriority w:val="99"/>
    <w:semiHidden/>
    <w:rsid w:val="007C0478"/>
    <w:rPr>
      <w:rFonts w:ascii="Times New Roman" w:eastAsia="Times New Roman" w:hAnsi="Times New Roman" w:cs="Times New Roman"/>
      <w:sz w:val="2"/>
      <w:szCs w:val="2"/>
      <w:lang w:eastAsia="ar-SA"/>
    </w:rPr>
  </w:style>
  <w:style w:type="character" w:customStyle="1" w:styleId="Heading7Char">
    <w:name w:val="Heading 7 Char"/>
    <w:basedOn w:val="DefaultParagraphFont"/>
    <w:link w:val="Heading7"/>
    <w:rsid w:val="00816EEF"/>
    <w:rPr>
      <w:rFonts w:ascii="Garamond" w:eastAsia="Times New Roman" w:hAnsi="Garamond" w:cs="Garamond"/>
      <w:color w:val="00000A"/>
      <w:kern w:val="1"/>
      <w:lang w:eastAsia="fr-FR"/>
    </w:rPr>
  </w:style>
  <w:style w:type="character" w:styleId="Hyperlink">
    <w:name w:val="Hyperlink"/>
    <w:rsid w:val="00816EEF"/>
    <w:rPr>
      <w:noProof w:val="0"/>
      <w:color w:val="0000FF"/>
      <w:u w:val="single"/>
      <w:lang/>
    </w:rPr>
  </w:style>
  <w:style w:type="paragraph" w:styleId="NormalWeb">
    <w:name w:val="Normal (Web)"/>
    <w:basedOn w:val="Normal"/>
    <w:rsid w:val="00816EEF"/>
    <w:pPr>
      <w:spacing w:before="280" w:after="280"/>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rika.Flahault@univ-lemans.fr" TargetMode="External"/><Relationship Id="rId6" Type="http://schemas.openxmlformats.org/officeDocument/2006/relationships/hyperlink" Target="mailto:annie.dussuet@univ-nantes.fr" TargetMode="External"/><Relationship Id="rId7" Type="http://schemas.openxmlformats.org/officeDocument/2006/relationships/hyperlink" Target="http://www.remest.ca/documents/DussuetREMESTVol6no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3707</Characters>
  <Application>Microsoft Word 12.1.0</Application>
  <DocSecurity>0</DocSecurity>
  <Lines>30</Lines>
  <Paragraphs>7</Paragraphs>
  <ScaleCrop>false</ScaleCrop>
  <LinksUpToDate>false</LinksUpToDate>
  <CharactersWithSpaces>4552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Neraci Bépirois</dc:creator>
  <cp:keywords/>
  <cp:lastModifiedBy>Neraci Bépirois</cp:lastModifiedBy>
  <cp:revision>1</cp:revision>
  <dcterms:created xsi:type="dcterms:W3CDTF">2014-05-16T19:11:00Z</dcterms:created>
  <dcterms:modified xsi:type="dcterms:W3CDTF">2014-05-16T19:15:00Z</dcterms:modified>
</cp:coreProperties>
</file>