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B" w:rsidRDefault="00C31EFB" w:rsidP="00C31EFB">
      <w:pPr>
        <w:rPr>
          <w:color w:val="000000"/>
          <w:shd w:val="clear" w:color="auto" w:fill="FFFFFF"/>
        </w:rPr>
      </w:pPr>
      <w:r>
        <w:rPr>
          <w:color w:val="000000"/>
          <w:shd w:val="clear" w:color="auto" w:fill="FFFFFF"/>
        </w:rPr>
        <w:t>Viviane Albenga</w:t>
      </w:r>
    </w:p>
    <w:p w:rsidR="00C31EFB" w:rsidRDefault="00C31EFB" w:rsidP="00C31EFB">
      <w:pPr>
        <w:rPr>
          <w:color w:val="000000"/>
          <w:shd w:val="clear" w:color="auto" w:fill="FFFFFF"/>
        </w:rPr>
      </w:pPr>
      <w:r>
        <w:rPr>
          <w:color w:val="000000"/>
          <w:shd w:val="clear" w:color="auto" w:fill="FFFFFF"/>
        </w:rPr>
        <w:t>viviane.albenga@sciencespo.fr</w:t>
      </w:r>
    </w:p>
    <w:p w:rsidR="00C31EFB" w:rsidRDefault="00C31EFB" w:rsidP="00C31EFB">
      <w:pPr>
        <w:rPr>
          <w:color w:val="000000"/>
          <w:shd w:val="clear" w:color="auto" w:fill="FFFFFF"/>
        </w:rPr>
      </w:pPr>
      <w:r>
        <w:rPr>
          <w:color w:val="000000"/>
          <w:shd w:val="clear" w:color="auto" w:fill="FFFFFF"/>
        </w:rPr>
        <w:t xml:space="preserve">Post-doctorante </w:t>
      </w:r>
      <w:r>
        <w:rPr>
          <w:color w:val="000000"/>
          <w:shd w:val="clear" w:color="auto" w:fill="FFFFFF"/>
        </w:rPr>
        <w:t xml:space="preserve">en sociologie dans le projet EGERA (Effective </w:t>
      </w:r>
      <w:proofErr w:type="spellStart"/>
      <w:r>
        <w:rPr>
          <w:color w:val="000000"/>
          <w:shd w:val="clear" w:color="auto" w:fill="FFFFFF"/>
        </w:rPr>
        <w:t>Gender</w:t>
      </w:r>
      <w:proofErr w:type="spellEnd"/>
      <w:r>
        <w:rPr>
          <w:color w:val="000000"/>
          <w:shd w:val="clear" w:color="auto" w:fill="FFFFFF"/>
        </w:rPr>
        <w:t xml:space="preserve"> </w:t>
      </w:r>
      <w:proofErr w:type="spellStart"/>
      <w:r>
        <w:rPr>
          <w:color w:val="000000"/>
          <w:shd w:val="clear" w:color="auto" w:fill="FFFFFF"/>
        </w:rPr>
        <w:t>Equality</w:t>
      </w:r>
      <w:proofErr w:type="spellEnd"/>
      <w:r>
        <w:rPr>
          <w:color w:val="000000"/>
          <w:shd w:val="clear" w:color="auto" w:fill="FFFFFF"/>
        </w:rPr>
        <w:t xml:space="preserve"> in </w:t>
      </w:r>
      <w:proofErr w:type="spellStart"/>
      <w:r>
        <w:rPr>
          <w:color w:val="000000"/>
          <w:shd w:val="clear" w:color="auto" w:fill="FFFFFF"/>
        </w:rPr>
        <w:t>Research</w:t>
      </w:r>
      <w:proofErr w:type="spellEnd"/>
      <w:r>
        <w:rPr>
          <w:color w:val="000000"/>
          <w:shd w:val="clear" w:color="auto" w:fill="FFFFFF"/>
        </w:rPr>
        <w:t xml:space="preserve"> and the </w:t>
      </w:r>
      <w:proofErr w:type="spellStart"/>
      <w:r>
        <w:rPr>
          <w:color w:val="000000"/>
          <w:shd w:val="clear" w:color="auto" w:fill="FFFFFF"/>
        </w:rPr>
        <w:t>Academia</w:t>
      </w:r>
      <w:proofErr w:type="spellEnd"/>
      <w:r>
        <w:rPr>
          <w:color w:val="000000"/>
          <w:shd w:val="clear" w:color="auto" w:fill="FFFFFF"/>
        </w:rPr>
        <w:t>), Sciences Po, OFCE.</w:t>
      </w:r>
    </w:p>
    <w:p w:rsidR="00C31EFB" w:rsidRDefault="00C31EFB" w:rsidP="00C31EFB">
      <w:pPr>
        <w:jc w:val="both"/>
        <w:rPr>
          <w:color w:val="000000"/>
          <w:shd w:val="clear" w:color="auto" w:fill="FFFFFF"/>
        </w:rPr>
      </w:pPr>
      <w:r>
        <w:rPr>
          <w:color w:val="000000"/>
          <w:shd w:val="clear" w:color="auto" w:fill="FFFFFF"/>
        </w:rPr>
        <w:t xml:space="preserve">Spécialisée dans la sociologie du genre, de la culture et des politiques éducatives, elle est l’auteure d’une thèse sur la construction du genre et de la classe sociale par les pratiques de lecture, soutenue à l’EHESS en 2009 et récompensée par le Prix de thèse de la ville de Paris pour les études de genre en 2010. </w:t>
      </w:r>
      <w:r>
        <w:rPr>
          <w:color w:val="000000"/>
          <w:shd w:val="clear" w:color="auto" w:fill="FFFFFF"/>
        </w:rPr>
        <w:t>Elle a participé à plusieurs recherches collectives financées par l’ANR et le Ministère de la Culture, et contribue actuellement au projet EGERA financé par la Commission Européenne. Elle participe dans ce cadre au recueil et</w:t>
      </w:r>
      <w:r w:rsidR="005C0C5F">
        <w:rPr>
          <w:color w:val="000000"/>
          <w:shd w:val="clear" w:color="auto" w:fill="FFFFFF"/>
        </w:rPr>
        <w:t xml:space="preserve"> à </w:t>
      </w:r>
      <w:r>
        <w:rPr>
          <w:color w:val="000000"/>
          <w:shd w:val="clear" w:color="auto" w:fill="FFFFFF"/>
        </w:rPr>
        <w:t xml:space="preserve">l’analyse de données sur les inégalités de genre </w:t>
      </w:r>
      <w:r w:rsidR="005C0C5F">
        <w:rPr>
          <w:color w:val="000000"/>
          <w:shd w:val="clear" w:color="auto" w:fill="FFFFFF"/>
        </w:rPr>
        <w:t xml:space="preserve">à </w:t>
      </w:r>
      <w:bookmarkStart w:id="0" w:name="_GoBack"/>
      <w:bookmarkEnd w:id="0"/>
      <w:r>
        <w:rPr>
          <w:color w:val="000000"/>
          <w:shd w:val="clear" w:color="auto" w:fill="FFFFFF"/>
        </w:rPr>
        <w:t>Sciences Po et à la construction d’indicateurs d’une culture de l’égalité de genre dans l’enseignement supérieur.</w:t>
      </w:r>
    </w:p>
    <w:p w:rsidR="00C31EFB" w:rsidRDefault="00C31EFB" w:rsidP="00C31EFB">
      <w:pPr>
        <w:jc w:val="both"/>
        <w:rPr>
          <w:szCs w:val="20"/>
        </w:rPr>
      </w:pPr>
      <w:r>
        <w:rPr>
          <w:color w:val="000000"/>
          <w:shd w:val="clear" w:color="auto" w:fill="FFFFFF"/>
        </w:rPr>
        <w:t xml:space="preserve"> </w:t>
      </w:r>
      <w:r>
        <w:rPr>
          <w:szCs w:val="20"/>
        </w:rPr>
        <w:t xml:space="preserve">Publications : </w:t>
      </w:r>
    </w:p>
    <w:p w:rsidR="00C31EFB" w:rsidRDefault="00C31EFB" w:rsidP="00C31EFB">
      <w:pPr>
        <w:jc w:val="both"/>
        <w:rPr>
          <w:color w:val="000000"/>
          <w:shd w:val="clear" w:color="auto" w:fill="FFFFFF"/>
        </w:rPr>
      </w:pPr>
      <w:r>
        <w:rPr>
          <w:color w:val="000000"/>
          <w:shd w:val="clear" w:color="auto" w:fill="FFFFFF"/>
        </w:rPr>
        <w:t xml:space="preserve">« Le genre de “la distinction” », </w:t>
      </w:r>
      <w:r>
        <w:rPr>
          <w:i/>
          <w:color w:val="000000"/>
          <w:shd w:val="clear" w:color="auto" w:fill="FFFFFF"/>
        </w:rPr>
        <w:t>Sociétés et représentations</w:t>
      </w:r>
      <w:r>
        <w:rPr>
          <w:color w:val="000000"/>
          <w:shd w:val="clear" w:color="auto" w:fill="FFFFFF"/>
        </w:rPr>
        <w:t xml:space="preserve"> n°24, 2007, p.161-176.</w:t>
      </w:r>
    </w:p>
    <w:p w:rsidR="00C31EFB" w:rsidRDefault="00C31EFB" w:rsidP="00C31EFB">
      <w:pPr>
        <w:jc w:val="both"/>
        <w:rPr>
          <w:color w:val="000000"/>
          <w:shd w:val="clear" w:color="auto" w:fill="FFFFFF"/>
        </w:rPr>
      </w:pPr>
      <w:r>
        <w:rPr>
          <w:color w:val="000000"/>
          <w:shd w:val="clear" w:color="auto" w:fill="FFFFFF"/>
        </w:rPr>
        <w:t xml:space="preserve">« Stabiliser ou subvertir le genre ? Les effets performatifs de la lecture », </w:t>
      </w:r>
      <w:r>
        <w:rPr>
          <w:i/>
          <w:color w:val="000000"/>
          <w:shd w:val="clear" w:color="auto" w:fill="FFFFFF"/>
        </w:rPr>
        <w:t>Sociologie de l’art</w:t>
      </w:r>
      <w:r>
        <w:rPr>
          <w:color w:val="000000"/>
          <w:shd w:val="clear" w:color="auto" w:fill="FFFFFF"/>
        </w:rPr>
        <w:t>-</w:t>
      </w:r>
      <w:r>
        <w:rPr>
          <w:i/>
          <w:color w:val="000000"/>
          <w:shd w:val="clear" w:color="auto" w:fill="FFFFFF"/>
        </w:rPr>
        <w:t>Opus</w:t>
      </w:r>
      <w:r>
        <w:rPr>
          <w:color w:val="000000"/>
          <w:shd w:val="clear" w:color="auto" w:fill="FFFFFF"/>
        </w:rPr>
        <w:t>, 17</w:t>
      </w:r>
      <w:r>
        <w:rPr>
          <w:i/>
          <w:color w:val="000000"/>
          <w:shd w:val="clear" w:color="auto" w:fill="FFFFFF"/>
        </w:rPr>
        <w:t xml:space="preserve">, </w:t>
      </w:r>
      <w:r>
        <w:rPr>
          <w:color w:val="000000"/>
          <w:shd w:val="clear" w:color="auto" w:fill="FFFFFF"/>
        </w:rPr>
        <w:t>2011, p.31-43 </w:t>
      </w:r>
    </w:p>
    <w:p w:rsidR="00C31EFB" w:rsidRDefault="00C31EFB" w:rsidP="00C31EFB">
      <w:pPr>
        <w:jc w:val="both"/>
        <w:rPr>
          <w:color w:val="000000"/>
          <w:shd w:val="clear" w:color="auto" w:fill="FFFFFF"/>
        </w:rPr>
      </w:pPr>
      <w:r>
        <w:rPr>
          <w:color w:val="000000"/>
          <w:shd w:val="clear" w:color="auto" w:fill="FFFFFF"/>
        </w:rPr>
        <w:t xml:space="preserve">« Le genre dans la construction politique des violences scolaires : une difficile émergence à l’échelle nationale en France », </w:t>
      </w:r>
      <w:r>
        <w:rPr>
          <w:i/>
          <w:color w:val="000000"/>
          <w:shd w:val="clear" w:color="auto" w:fill="FFFFFF"/>
        </w:rPr>
        <w:t>in</w:t>
      </w:r>
      <w:r>
        <w:rPr>
          <w:color w:val="000000"/>
          <w:shd w:val="clear" w:color="auto" w:fill="FFFFFF"/>
        </w:rPr>
        <w:t xml:space="preserve"> Cécile Carra, Béatrice </w:t>
      </w:r>
      <w:proofErr w:type="spellStart"/>
      <w:r>
        <w:rPr>
          <w:color w:val="000000"/>
          <w:shd w:val="clear" w:color="auto" w:fill="FFFFFF"/>
        </w:rPr>
        <w:t>Mabilon-Bonfils</w:t>
      </w:r>
      <w:proofErr w:type="spellEnd"/>
      <w:r>
        <w:rPr>
          <w:color w:val="000000"/>
          <w:shd w:val="clear" w:color="auto" w:fill="FFFFFF"/>
        </w:rPr>
        <w:t xml:space="preserve"> (</w:t>
      </w:r>
      <w:proofErr w:type="spellStart"/>
      <w:r>
        <w:rPr>
          <w:color w:val="000000"/>
          <w:shd w:val="clear" w:color="auto" w:fill="FFFFFF"/>
        </w:rPr>
        <w:t>dir</w:t>
      </w:r>
      <w:proofErr w:type="spellEnd"/>
      <w:r>
        <w:rPr>
          <w:color w:val="000000"/>
          <w:shd w:val="clear" w:color="auto" w:fill="FFFFFF"/>
        </w:rPr>
        <w:t xml:space="preserve">.), </w:t>
      </w:r>
      <w:r>
        <w:rPr>
          <w:i/>
          <w:color w:val="000000"/>
          <w:shd w:val="clear" w:color="auto" w:fill="FFFFFF"/>
        </w:rPr>
        <w:t>Violences à l’école, normes et professionnalités en questions</w:t>
      </w:r>
      <w:r>
        <w:rPr>
          <w:color w:val="000000"/>
          <w:shd w:val="clear" w:color="auto" w:fill="FFFFFF"/>
        </w:rPr>
        <w:t>, Presses de l’Université d’Artois, 2012, p.23-34.</w:t>
      </w:r>
    </w:p>
    <w:p w:rsidR="00C31EFB" w:rsidRDefault="00C31EFB" w:rsidP="00C31EFB">
      <w:pPr>
        <w:jc w:val="both"/>
        <w:rPr>
          <w:color w:val="000000"/>
          <w:shd w:val="clear" w:color="auto" w:fill="FFFFFF"/>
        </w:rPr>
      </w:pPr>
      <w:r>
        <w:rPr>
          <w:i/>
          <w:color w:val="000000"/>
          <w:shd w:val="clear" w:color="auto" w:fill="FFFFFF"/>
        </w:rPr>
        <w:t>S’émanciper par la lecture. Genre, classe et usages sociaux des livres</w:t>
      </w:r>
      <w:r>
        <w:rPr>
          <w:color w:val="000000"/>
          <w:shd w:val="clear" w:color="auto" w:fill="FFFFFF"/>
        </w:rPr>
        <w:t xml:space="preserve">, Rennes, PUR, collection « Le sens social ». À paraître en 2014. </w:t>
      </w:r>
    </w:p>
    <w:p w:rsidR="008E1232" w:rsidRDefault="008E1232"/>
    <w:sectPr w:rsidR="008E1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FB"/>
    <w:rsid w:val="005C0C5F"/>
    <w:rsid w:val="008E1232"/>
    <w:rsid w:val="00C31EFB"/>
    <w:rsid w:val="00F63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F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1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F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1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2014-05-26T08:08:00Z</dcterms:created>
  <dcterms:modified xsi:type="dcterms:W3CDTF">2014-05-26T08:08:00Z</dcterms:modified>
</cp:coreProperties>
</file>